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4" w:rsidRPr="00821556" w:rsidRDefault="00A26934" w:rsidP="00A26934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A26934" w:rsidRPr="00821556" w:rsidRDefault="00A26934" w:rsidP="00A26934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A26934" w:rsidRPr="00821556" w:rsidRDefault="00A26934" w:rsidP="00A26934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A26934" w:rsidRDefault="00A26934" w:rsidP="00A26934">
      <w:r>
        <w:t>Дана:</w:t>
      </w:r>
    </w:p>
    <w:p w:rsidR="00A26934" w:rsidRPr="00A12327" w:rsidRDefault="00A26934" w:rsidP="00A26934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A26934" w:rsidRPr="00BC0B0E" w:rsidRDefault="00A26934" w:rsidP="00A2693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06"/>
        <w:gridCol w:w="987"/>
        <w:gridCol w:w="793"/>
        <w:gridCol w:w="1874"/>
        <w:gridCol w:w="2578"/>
        <w:gridCol w:w="240"/>
        <w:gridCol w:w="346"/>
        <w:gridCol w:w="1214"/>
      </w:tblGrid>
      <w:tr w:rsidR="00A26934" w:rsidRPr="00B043AE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bCs/>
                <w:sz w:val="22"/>
                <w:szCs w:val="22"/>
              </w:rPr>
              <w:t>2018/19</w:t>
            </w:r>
          </w:p>
        </w:tc>
      </w:tr>
      <w:tr w:rsidR="00A26934" w:rsidRPr="006D1277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Pr="00A26934">
              <w:rPr>
                <w:b/>
                <w:bCs/>
                <w:sz w:val="22"/>
                <w:szCs w:val="22"/>
              </w:rPr>
              <w:t xml:space="preserve"> Menadžment trgovine i marketinga, Menadžment poslovnih komunikacija, Preduzetništvo</w:t>
            </w:r>
          </w:p>
        </w:tc>
      </w:tr>
      <w:tr w:rsidR="00A26934" w:rsidRPr="006D1277" w:rsidTr="005D7945">
        <w:tc>
          <w:tcPr>
            <w:tcW w:w="9576" w:type="dxa"/>
            <w:gridSpan w:val="9"/>
          </w:tcPr>
          <w:p w:rsidR="00A26934" w:rsidRPr="00A26934" w:rsidRDefault="00A26934" w:rsidP="005D7945">
            <w:pPr>
              <w:rPr>
                <w:sz w:val="22"/>
                <w:szCs w:val="22"/>
                <w:lang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2"/>
                <w:szCs w:val="22"/>
              </w:rPr>
              <w:t>Menadžment malih i srednjih preduzeća</w:t>
            </w:r>
          </w:p>
        </w:tc>
      </w:tr>
      <w:tr w:rsidR="00A26934" w:rsidRPr="00E7078D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rPr>
                <w:bCs/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Doc. Dr Dragan Janjušić</w:t>
            </w:r>
          </w:p>
        </w:tc>
      </w:tr>
      <w:tr w:rsidR="00A26934" w:rsidRPr="00E7078D" w:rsidTr="005D7945">
        <w:tc>
          <w:tcPr>
            <w:tcW w:w="9576" w:type="dxa"/>
            <w:gridSpan w:val="9"/>
          </w:tcPr>
          <w:p w:rsidR="00A26934" w:rsidRPr="00D656D6" w:rsidRDefault="00A26934" w:rsidP="005D794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A26934" w:rsidRPr="00875FD8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rPr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Pr="00A26934">
              <w:rPr>
                <w:b/>
                <w:bCs/>
                <w:sz w:val="22"/>
                <w:szCs w:val="22"/>
              </w:rPr>
              <w:t xml:space="preserve"> Izborni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6934" w:rsidRPr="00875FD8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rPr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693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26934" w:rsidRPr="00875FD8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</w:t>
            </w:r>
            <w:r>
              <w:rPr>
                <w:rFonts w:ascii="Helvetica" w:hAnsi="Helvetica" w:cs="Helvetica"/>
                <w:color w:val="4B4B4B"/>
                <w:sz w:val="21"/>
                <w:szCs w:val="21"/>
                <w:shd w:val="clear" w:color="auto" w:fill="FFFFFF"/>
              </w:rPr>
              <w:t xml:space="preserve"> </w:t>
            </w:r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Cilj predmeta je da studentima omogući produbljivanje stečenih znanja </w:t>
            </w:r>
            <w:hyperlink r:id="rId5" w:tooltip="I" w:history="1">
              <w:r w:rsidRPr="00A26934">
                <w:rPr>
                  <w:rStyle w:val="Hyperlink"/>
                  <w:b/>
                  <w:color w:val="007EBA"/>
                  <w:sz w:val="18"/>
                  <w:szCs w:val="18"/>
                  <w:u w:val="none"/>
                  <w:shd w:val="clear" w:color="auto" w:fill="FFFFFF"/>
                </w:rPr>
                <w:t>i</w:t>
              </w:r>
            </w:hyperlink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 da spoznaju značaj analize za planiranje </w:t>
            </w:r>
            <w:hyperlink r:id="rId6" w:tooltip="I" w:history="1">
              <w:r w:rsidRPr="00A26934">
                <w:rPr>
                  <w:rStyle w:val="Hyperlink"/>
                  <w:b/>
                  <w:color w:val="007EBA"/>
                  <w:sz w:val="18"/>
                  <w:szCs w:val="18"/>
                  <w:u w:val="none"/>
                  <w:shd w:val="clear" w:color="auto" w:fill="FFFFFF"/>
                </w:rPr>
                <w:t>i</w:t>
              </w:r>
            </w:hyperlink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 realizaciju poslovnih aktivnosti u malim </w:t>
            </w:r>
            <w:hyperlink r:id="rId7" w:tooltip="I" w:history="1">
              <w:r w:rsidRPr="00A26934">
                <w:rPr>
                  <w:rStyle w:val="Hyperlink"/>
                  <w:b/>
                  <w:color w:val="007EBA"/>
                  <w:sz w:val="18"/>
                  <w:szCs w:val="18"/>
                  <w:u w:val="none"/>
                  <w:shd w:val="clear" w:color="auto" w:fill="FFFFFF"/>
                </w:rPr>
                <w:t>i</w:t>
              </w:r>
            </w:hyperlink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 srednjim preduzećima. Specifični ciljevi su: razvoj sposobnosti kod studenata koje omogućuju ovladavanje znanjem koje je neophodno za analizu, s naglaskom na mala </w:t>
            </w:r>
            <w:hyperlink r:id="rId8" w:tooltip="I" w:history="1">
              <w:r w:rsidRPr="00A26934">
                <w:rPr>
                  <w:rStyle w:val="Hyperlink"/>
                  <w:b/>
                  <w:color w:val="007EBA"/>
                  <w:sz w:val="18"/>
                  <w:szCs w:val="18"/>
                  <w:u w:val="none"/>
                  <w:shd w:val="clear" w:color="auto" w:fill="FFFFFF"/>
                </w:rPr>
                <w:t>i</w:t>
              </w:r>
            </w:hyperlink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 srednja preduzeća, uviđanje uzroćno-posledičnih veza </w:t>
            </w:r>
            <w:hyperlink r:id="rId9" w:tooltip="I" w:history="1">
              <w:r w:rsidRPr="00A26934">
                <w:rPr>
                  <w:rStyle w:val="Hyperlink"/>
                  <w:b/>
                  <w:color w:val="007EBA"/>
                  <w:sz w:val="18"/>
                  <w:szCs w:val="18"/>
                  <w:u w:val="none"/>
                  <w:shd w:val="clear" w:color="auto" w:fill="FFFFFF"/>
                </w:rPr>
                <w:t>i</w:t>
              </w:r>
            </w:hyperlink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 odnosa koji egzistiraju u poslovanju takvih preduzeća na domaćem, regionalnom </w:t>
            </w:r>
            <w:hyperlink r:id="rId10" w:tooltip="I" w:history="1">
              <w:r w:rsidRPr="00A26934">
                <w:rPr>
                  <w:rStyle w:val="Hyperlink"/>
                  <w:b/>
                  <w:color w:val="007EBA"/>
                  <w:sz w:val="18"/>
                  <w:szCs w:val="18"/>
                  <w:u w:val="none"/>
                  <w:shd w:val="clear" w:color="auto" w:fill="FFFFFF"/>
                </w:rPr>
                <w:t>i</w:t>
              </w:r>
            </w:hyperlink>
            <w:r w:rsidRPr="00A26934">
              <w:rPr>
                <w:b/>
                <w:color w:val="4B4B4B"/>
                <w:sz w:val="18"/>
                <w:szCs w:val="18"/>
                <w:shd w:val="clear" w:color="auto" w:fill="FFFFFF"/>
              </w:rPr>
              <w:t> inostranom tržištu  u globalnom okruženju</w:t>
            </w:r>
          </w:p>
        </w:tc>
      </w:tr>
      <w:tr w:rsidR="00A26934" w:rsidRPr="00875FD8" w:rsidTr="005D7945">
        <w:tc>
          <w:tcPr>
            <w:tcW w:w="9576" w:type="dxa"/>
            <w:gridSpan w:val="9"/>
          </w:tcPr>
          <w:p w:rsidR="00A26934" w:rsidRDefault="00A26934" w:rsidP="005D794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A26934" w:rsidRPr="00D656D6" w:rsidRDefault="00A26934" w:rsidP="005D794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26934" w:rsidRPr="009F3141" w:rsidTr="005D7945">
        <w:tc>
          <w:tcPr>
            <w:tcW w:w="9576" w:type="dxa"/>
            <w:gridSpan w:val="9"/>
          </w:tcPr>
          <w:p w:rsidR="00A26934" w:rsidRPr="007A271E" w:rsidRDefault="00A26934" w:rsidP="005D7945">
            <w:pPr>
              <w:rPr>
                <w:b/>
                <w:bCs/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>
              <w:rPr>
                <w:b/>
                <w:bCs/>
                <w:sz w:val="22"/>
                <w:szCs w:val="22"/>
                <w:lang w:val="sr-Cyrl-CS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Udžbenik : Menadžment kvaliteta</w:t>
            </w:r>
          </w:p>
          <w:p w:rsidR="00A26934" w:rsidRPr="00D656D6" w:rsidRDefault="00A26934" w:rsidP="005D7945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A26934" w:rsidRPr="006D1277" w:rsidTr="005D7945">
        <w:tc>
          <w:tcPr>
            <w:tcW w:w="8016" w:type="dxa"/>
            <w:gridSpan w:val="7"/>
          </w:tcPr>
          <w:p w:rsidR="00A26934" w:rsidRPr="006D1277" w:rsidRDefault="00A26934" w:rsidP="005D794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1560" w:type="dxa"/>
            <w:gridSpan w:val="2"/>
            <w:vMerge w:val="restart"/>
          </w:tcPr>
          <w:p w:rsidR="00A26934" w:rsidRPr="006D1277" w:rsidRDefault="00A26934" w:rsidP="005D7945">
            <w:pPr>
              <w:rPr>
                <w:b/>
                <w:bCs/>
                <w:lang w:val="ru-RU"/>
              </w:rPr>
            </w:pPr>
          </w:p>
        </w:tc>
      </w:tr>
      <w:tr w:rsidR="005D7945" w:rsidRPr="006D1277" w:rsidTr="005D7945">
        <w:tc>
          <w:tcPr>
            <w:tcW w:w="1544" w:type="dxa"/>
            <w:gridSpan w:val="2"/>
          </w:tcPr>
          <w:p w:rsidR="00A26934" w:rsidRPr="006D1277" w:rsidRDefault="00A26934" w:rsidP="005D7945">
            <w:pPr>
              <w:rPr>
                <w:bCs/>
              </w:rPr>
            </w:pPr>
            <w:r w:rsidRPr="006D1277">
              <w:rPr>
                <w:bCs/>
              </w:rPr>
              <w:t>Предавања:</w:t>
            </w:r>
          </w:p>
          <w:p w:rsidR="00A26934" w:rsidRPr="00D73C34" w:rsidRDefault="00A26934" w:rsidP="005D7945">
            <w:pPr>
              <w:rPr>
                <w:bCs/>
              </w:rPr>
            </w:pPr>
            <w:r>
              <w:rPr>
                <w:bCs/>
              </w:rPr>
              <w:t xml:space="preserve">           3</w:t>
            </w:r>
          </w:p>
        </w:tc>
        <w:tc>
          <w:tcPr>
            <w:tcW w:w="987" w:type="dxa"/>
          </w:tcPr>
          <w:p w:rsidR="00A26934" w:rsidRDefault="00A26934" w:rsidP="005D7945">
            <w:pPr>
              <w:rPr>
                <w:bCs/>
              </w:rPr>
            </w:pPr>
            <w:r w:rsidRPr="006D1277">
              <w:rPr>
                <w:bCs/>
              </w:rPr>
              <w:t>Вежбе:</w:t>
            </w:r>
          </w:p>
          <w:p w:rsidR="00A26934" w:rsidRPr="006D1277" w:rsidRDefault="00A26934" w:rsidP="005D7945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5245" w:type="dxa"/>
            <w:gridSpan w:val="3"/>
          </w:tcPr>
          <w:p w:rsidR="00A26934" w:rsidRDefault="00A26934" w:rsidP="005D794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  <w:p w:rsidR="00A26934" w:rsidRPr="00440451" w:rsidRDefault="00A26934" w:rsidP="005D7945">
            <w:pPr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240" w:type="dxa"/>
          </w:tcPr>
          <w:p w:rsidR="00A26934" w:rsidRPr="006D1277" w:rsidRDefault="00A26934" w:rsidP="005D7945">
            <w:pPr>
              <w:rPr>
                <w:bCs/>
              </w:rPr>
            </w:pPr>
          </w:p>
          <w:p w:rsidR="00A26934" w:rsidRPr="006D1277" w:rsidRDefault="00A26934" w:rsidP="005D7945">
            <w:pPr>
              <w:rPr>
                <w:bCs/>
              </w:rPr>
            </w:pPr>
          </w:p>
        </w:tc>
        <w:tc>
          <w:tcPr>
            <w:tcW w:w="1560" w:type="dxa"/>
            <w:gridSpan w:val="2"/>
            <w:vMerge/>
          </w:tcPr>
          <w:p w:rsidR="00A26934" w:rsidRPr="006D1277" w:rsidRDefault="00A26934" w:rsidP="005D7945">
            <w:pPr>
              <w:rPr>
                <w:b/>
                <w:bCs/>
              </w:rPr>
            </w:pPr>
          </w:p>
        </w:tc>
      </w:tr>
      <w:tr w:rsidR="00A26934" w:rsidRPr="006D1277" w:rsidTr="005D7945">
        <w:tc>
          <w:tcPr>
            <w:tcW w:w="9576" w:type="dxa"/>
            <w:gridSpan w:val="9"/>
          </w:tcPr>
          <w:p w:rsidR="00A26934" w:rsidRPr="006D1277" w:rsidRDefault="00A26934" w:rsidP="005D794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5D7945" w:rsidRPr="006D1277" w:rsidTr="005D7945">
        <w:tc>
          <w:tcPr>
            <w:tcW w:w="3324" w:type="dxa"/>
            <w:gridSpan w:val="4"/>
          </w:tcPr>
          <w:p w:rsidR="00A26934" w:rsidRPr="006D1277" w:rsidRDefault="00A26934" w:rsidP="005D794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1874" w:type="dxa"/>
          </w:tcPr>
          <w:p w:rsidR="00A26934" w:rsidRPr="006D1277" w:rsidRDefault="00A26934" w:rsidP="005D7945">
            <w:pPr>
              <w:rPr>
                <w:b/>
                <w:bCs/>
              </w:rPr>
            </w:pPr>
            <w:r w:rsidRPr="006D1277">
              <w:rPr>
                <w:b/>
                <w:bCs/>
              </w:rPr>
              <w:t>поена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A26934" w:rsidRPr="00440451" w:rsidRDefault="00A26934" w:rsidP="005D7945">
            <w:r w:rsidRPr="00C430F8">
              <w:t xml:space="preserve">Завршни испит </w:t>
            </w:r>
            <w:r>
              <w:t>(према опису предмета из курикулума)</w:t>
            </w:r>
          </w:p>
        </w:tc>
        <w:tc>
          <w:tcPr>
            <w:tcW w:w="1214" w:type="dxa"/>
            <w:shd w:val="clear" w:color="auto" w:fill="auto"/>
          </w:tcPr>
          <w:p w:rsidR="00A26934" w:rsidRPr="006D1277" w:rsidRDefault="00A26934" w:rsidP="005D7945">
            <w:pPr>
              <w:rPr>
                <w:b/>
                <w:iCs/>
              </w:rPr>
            </w:pPr>
            <w:r w:rsidRPr="006D1277">
              <w:rPr>
                <w:b/>
                <w:iCs/>
              </w:rPr>
              <w:t>поена</w:t>
            </w:r>
          </w:p>
        </w:tc>
      </w:tr>
      <w:tr w:rsidR="005D7945" w:rsidRPr="006D1277" w:rsidTr="005D7945">
        <w:tc>
          <w:tcPr>
            <w:tcW w:w="3324" w:type="dxa"/>
            <w:gridSpan w:val="4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874" w:type="dxa"/>
          </w:tcPr>
          <w:p w:rsidR="00A26934" w:rsidRPr="0044576B" w:rsidRDefault="00A26934" w:rsidP="005D794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64" w:type="dxa"/>
            <w:gridSpan w:val="3"/>
            <w:shd w:val="clear" w:color="auto" w:fill="auto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214" w:type="dxa"/>
            <w:shd w:val="clear" w:color="auto" w:fill="auto"/>
          </w:tcPr>
          <w:p w:rsidR="00A26934" w:rsidRPr="0044576B" w:rsidRDefault="00A26934" w:rsidP="005D794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D7945" w:rsidRPr="006D1277" w:rsidTr="005D7945">
        <w:tc>
          <w:tcPr>
            <w:tcW w:w="3324" w:type="dxa"/>
            <w:gridSpan w:val="4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874" w:type="dxa"/>
          </w:tcPr>
          <w:p w:rsidR="00A26934" w:rsidRPr="0044576B" w:rsidRDefault="00A26934" w:rsidP="005D794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64" w:type="dxa"/>
            <w:gridSpan w:val="3"/>
            <w:shd w:val="clear" w:color="auto" w:fill="auto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214" w:type="dxa"/>
            <w:shd w:val="clear" w:color="auto" w:fill="auto"/>
          </w:tcPr>
          <w:p w:rsidR="00A26934" w:rsidRPr="0044576B" w:rsidRDefault="00A26934" w:rsidP="005D7945">
            <w:pPr>
              <w:jc w:val="center"/>
              <w:rPr>
                <w:b/>
                <w:iCs/>
                <w:lang w:val="sr-Cyrl-CS"/>
              </w:rPr>
            </w:pPr>
          </w:p>
        </w:tc>
      </w:tr>
      <w:tr w:rsidR="005D7945" w:rsidRPr="006D1277" w:rsidTr="005D7945">
        <w:tc>
          <w:tcPr>
            <w:tcW w:w="3324" w:type="dxa"/>
            <w:gridSpan w:val="4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874" w:type="dxa"/>
          </w:tcPr>
          <w:p w:rsidR="00A26934" w:rsidRPr="0044576B" w:rsidRDefault="00A26934" w:rsidP="005D794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64" w:type="dxa"/>
            <w:gridSpan w:val="3"/>
            <w:shd w:val="clear" w:color="auto" w:fill="auto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214" w:type="dxa"/>
            <w:shd w:val="clear" w:color="auto" w:fill="auto"/>
          </w:tcPr>
          <w:p w:rsidR="00A26934" w:rsidRPr="0044576B" w:rsidRDefault="00A26934" w:rsidP="005D794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5D7945" w:rsidRPr="006D1277" w:rsidTr="005D7945">
        <w:tc>
          <w:tcPr>
            <w:tcW w:w="3324" w:type="dxa"/>
            <w:gridSpan w:val="4"/>
          </w:tcPr>
          <w:p w:rsidR="00A26934" w:rsidRPr="0044576B" w:rsidRDefault="00A26934" w:rsidP="005D7945">
            <w:pPr>
              <w:rPr>
                <w:lang w:val="sr-Cyrl-CS"/>
              </w:rPr>
            </w:pPr>
          </w:p>
        </w:tc>
        <w:tc>
          <w:tcPr>
            <w:tcW w:w="1874" w:type="dxa"/>
          </w:tcPr>
          <w:p w:rsidR="00A26934" w:rsidRPr="0044576B" w:rsidRDefault="00A26934" w:rsidP="005D794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164" w:type="dxa"/>
            <w:gridSpan w:val="3"/>
            <w:shd w:val="clear" w:color="auto" w:fill="auto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  <w:tc>
          <w:tcPr>
            <w:tcW w:w="1214" w:type="dxa"/>
            <w:shd w:val="clear" w:color="auto" w:fill="auto"/>
          </w:tcPr>
          <w:p w:rsidR="00A26934" w:rsidRPr="0044576B" w:rsidRDefault="00A26934" w:rsidP="005D7945">
            <w:pPr>
              <w:rPr>
                <w:i/>
                <w:iCs/>
                <w:lang w:val="sr-Cyrl-CS"/>
              </w:rPr>
            </w:pPr>
          </w:p>
        </w:tc>
      </w:tr>
      <w:tr w:rsidR="00A26934" w:rsidRPr="006D1277" w:rsidTr="005D7945">
        <w:tc>
          <w:tcPr>
            <w:tcW w:w="9576" w:type="dxa"/>
            <w:gridSpan w:val="9"/>
          </w:tcPr>
          <w:p w:rsidR="00A26934" w:rsidRPr="006D1277" w:rsidRDefault="00A26934" w:rsidP="005D794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>
              <w:rPr>
                <w:sz w:val="18"/>
                <w:szCs w:val="18"/>
                <w:lang w:val="sr-Cyrl-CS"/>
              </w:rPr>
              <w:t xml:space="preserve"> навести оне који су предвиђени у опису предмета</w:t>
            </w:r>
          </w:p>
        </w:tc>
      </w:tr>
      <w:tr w:rsidR="00A26934" w:rsidRPr="006D1277" w:rsidTr="005D7945">
        <w:tc>
          <w:tcPr>
            <w:tcW w:w="9576" w:type="dxa"/>
            <w:gridSpan w:val="9"/>
          </w:tcPr>
          <w:p w:rsidR="00A26934" w:rsidRPr="00D656D6" w:rsidRDefault="00A26934" w:rsidP="005D79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D656D6" w:rsidRDefault="00A26934" w:rsidP="005D79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8638" w:type="dxa"/>
            <w:gridSpan w:val="8"/>
          </w:tcPr>
          <w:p w:rsidR="00A26934" w:rsidRPr="00D656D6" w:rsidRDefault="00A26934" w:rsidP="005D79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8638" w:type="dxa"/>
            <w:gridSpan w:val="8"/>
          </w:tcPr>
          <w:p w:rsidR="00A26934" w:rsidRPr="00A26934" w:rsidRDefault="00A26934" w:rsidP="005D7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26934">
              <w:rPr>
                <w:b/>
                <w:sz w:val="18"/>
                <w:szCs w:val="18"/>
              </w:rPr>
              <w:t>POJAM MALOG I SREDNJEG PREDUZEĆA</w:t>
            </w:r>
          </w:p>
        </w:tc>
      </w:tr>
      <w:tr w:rsidR="00A26934" w:rsidRPr="006D1277" w:rsidTr="005D7945">
        <w:trPr>
          <w:trHeight w:val="217"/>
        </w:trPr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8638" w:type="dxa"/>
            <w:gridSpan w:val="8"/>
          </w:tcPr>
          <w:p w:rsidR="00A26934" w:rsidRPr="007104EF" w:rsidRDefault="00A26934" w:rsidP="005D79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104EF">
              <w:rPr>
                <w:b/>
                <w:bCs/>
                <w:sz w:val="18"/>
                <w:szCs w:val="18"/>
                <w:lang w:val="sr-Latn-CS"/>
              </w:rPr>
              <w:t>POLOŽAJ SEKTORA MSPP U SRBIJI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8638" w:type="dxa"/>
            <w:gridSpan w:val="8"/>
          </w:tcPr>
          <w:p w:rsidR="00A26934" w:rsidRPr="00955BEA" w:rsidRDefault="00955BEA" w:rsidP="005D79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55BEA">
              <w:rPr>
                <w:b/>
                <w:sz w:val="18"/>
                <w:szCs w:val="18"/>
                <w:lang w:val="sr-Latn-CS"/>
              </w:rPr>
              <w:t>UTICAJ SVETSKE EK</w:t>
            </w:r>
            <w:r>
              <w:rPr>
                <w:b/>
                <w:sz w:val="18"/>
                <w:szCs w:val="18"/>
                <w:lang w:val="sr-Latn-CS"/>
              </w:rPr>
              <w:t xml:space="preserve">ONOMSKE KRIZE NA POSLOVANJE </w:t>
            </w:r>
            <w:r w:rsidRPr="00955BEA">
              <w:rPr>
                <w:b/>
                <w:sz w:val="18"/>
                <w:szCs w:val="18"/>
                <w:lang w:val="sr-Latn-CS"/>
              </w:rPr>
              <w:t xml:space="preserve"> MSPP SEKTORA</w:t>
            </w:r>
          </w:p>
        </w:tc>
      </w:tr>
      <w:tr w:rsidR="00A26934" w:rsidRPr="006D1277" w:rsidTr="005D7945">
        <w:trPr>
          <w:trHeight w:val="209"/>
        </w:trPr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8638" w:type="dxa"/>
            <w:gridSpan w:val="8"/>
          </w:tcPr>
          <w:p w:rsidR="00A26934" w:rsidRPr="00955BEA" w:rsidRDefault="00955BEA" w:rsidP="005D79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                            </w:t>
            </w:r>
            <w:r w:rsidR="007104EF" w:rsidRPr="00955BEA">
              <w:rPr>
                <w:b/>
                <w:sz w:val="18"/>
                <w:szCs w:val="18"/>
                <w:lang w:val="sr-Latn-CS"/>
              </w:rPr>
              <w:t>NUŽNE PROMENE PREDUZETNIČKOG OBRAZOVANJ</w:t>
            </w:r>
            <w:r>
              <w:rPr>
                <w:b/>
                <w:sz w:val="18"/>
                <w:szCs w:val="18"/>
                <w:lang w:val="sr-Latn-CS"/>
              </w:rPr>
              <w:t>U</w:t>
            </w:r>
            <w:r>
              <w:rPr>
                <w:b/>
                <w:sz w:val="18"/>
                <w:szCs w:val="18"/>
                <w:lang/>
              </w:rPr>
              <w:t xml:space="preserve">                                               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8638" w:type="dxa"/>
            <w:gridSpan w:val="8"/>
          </w:tcPr>
          <w:p w:rsidR="00A26934" w:rsidRPr="00955BEA" w:rsidRDefault="00955BEA" w:rsidP="005D7945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        </w:t>
            </w:r>
            <w:r w:rsidRPr="00A43998">
              <w:rPr>
                <w:b/>
                <w:i/>
              </w:rPr>
              <w:t>KLJUČNI POJMOVI PREDUZETNIŠTVA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8638" w:type="dxa"/>
            <w:gridSpan w:val="8"/>
          </w:tcPr>
          <w:p w:rsidR="00A26934" w:rsidRPr="008057B6" w:rsidRDefault="00955BEA" w:rsidP="005D79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 xml:space="preserve">ŠTA JE </w:t>
            </w:r>
            <w:r w:rsidRPr="00955BEA">
              <w:rPr>
                <w:b/>
                <w:bCs/>
                <w:sz w:val="18"/>
                <w:szCs w:val="18"/>
                <w:lang w:val="sr-Latn-CS"/>
              </w:rPr>
              <w:t xml:space="preserve"> MALI BIZNIS?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8638" w:type="dxa"/>
            <w:gridSpan w:val="8"/>
          </w:tcPr>
          <w:p w:rsidR="00A26934" w:rsidRPr="008057B6" w:rsidRDefault="00955BEA" w:rsidP="005D7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OBNAVLJANE GRADIVA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8638" w:type="dxa"/>
            <w:gridSpan w:val="8"/>
          </w:tcPr>
          <w:p w:rsidR="005D7945" w:rsidRPr="005D7945" w:rsidRDefault="00955BEA" w:rsidP="005D7945">
            <w:pPr>
              <w:jc w:val="center"/>
              <w:rPr>
                <w:b/>
                <w:bCs/>
                <w:sz w:val="18"/>
                <w:szCs w:val="18"/>
              </w:rPr>
            </w:pPr>
            <w:r w:rsidRPr="00955BEA">
              <w:rPr>
                <w:b/>
                <w:bCs/>
                <w:sz w:val="18"/>
                <w:szCs w:val="18"/>
                <w:lang w:val="sr-Latn-CS"/>
              </w:rPr>
              <w:t xml:space="preserve">PLANIRANJE </w:t>
            </w:r>
            <w:r w:rsidRPr="00955BEA">
              <w:rPr>
                <w:b/>
                <w:bCs/>
                <w:sz w:val="18"/>
                <w:szCs w:val="18"/>
              </w:rPr>
              <w:t xml:space="preserve">KONCIPIRANOG </w:t>
            </w:r>
            <w:r w:rsidRPr="00955BEA">
              <w:rPr>
                <w:b/>
                <w:bCs/>
                <w:sz w:val="18"/>
                <w:szCs w:val="18"/>
                <w:lang w:val="sr-Latn-CS"/>
              </w:rPr>
              <w:t>BIZNISA</w:t>
            </w:r>
            <w:r w:rsidRPr="00955BE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934" w:rsidRPr="006D1277" w:rsidTr="007104EF">
        <w:trPr>
          <w:gridAfter w:val="8"/>
          <w:wAfter w:w="8638" w:type="dxa"/>
          <w:trHeight w:val="70"/>
        </w:trPr>
        <w:tc>
          <w:tcPr>
            <w:tcW w:w="938" w:type="dxa"/>
          </w:tcPr>
          <w:p w:rsidR="00A26934" w:rsidRPr="00C6061C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Pr="005D7945" w:rsidRDefault="005D7945" w:rsidP="005D79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5D7945">
              <w:rPr>
                <w:b/>
                <w:bCs/>
                <w:sz w:val="18"/>
                <w:szCs w:val="18"/>
                <w:lang w:val="sr-Latn-CS"/>
              </w:rPr>
              <w:t xml:space="preserve">       </w:t>
            </w:r>
            <w:r w:rsidR="00A26934" w:rsidRPr="005D7945"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8638" w:type="dxa"/>
            <w:gridSpan w:val="8"/>
          </w:tcPr>
          <w:p w:rsidR="00A26934" w:rsidRPr="005D7945" w:rsidRDefault="007104EF" w:rsidP="007104E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Latn-CS"/>
              </w:rPr>
              <w:t xml:space="preserve">                                                                  </w:t>
            </w:r>
            <w:r w:rsidR="005D7945" w:rsidRPr="005D7945">
              <w:rPr>
                <w:b/>
                <w:bCs/>
                <w:sz w:val="18"/>
                <w:szCs w:val="18"/>
                <w:lang w:val="sr-Latn-CS"/>
              </w:rPr>
              <w:t>ELEMENTI BIZNIS PLANA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8638" w:type="dxa"/>
            <w:gridSpan w:val="8"/>
          </w:tcPr>
          <w:p w:rsidR="00A26934" w:rsidRPr="005D7945" w:rsidRDefault="005D7945" w:rsidP="005D7945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 xml:space="preserve">                                                                    </w:t>
            </w:r>
            <w:r w:rsidR="007104EF" w:rsidRPr="007104EF">
              <w:rPr>
                <w:b/>
                <w:bCs/>
                <w:sz w:val="18"/>
                <w:szCs w:val="18"/>
              </w:rPr>
              <w:t>IZRADA BIZNIS PLANA</w:t>
            </w:r>
            <w:r w:rsidR="007104EF" w:rsidRPr="007104EF">
              <w:rPr>
                <w:b/>
                <w:sz w:val="18"/>
                <w:szCs w:val="18"/>
                <w:lang/>
              </w:rPr>
              <w:t xml:space="preserve"> </w:t>
            </w:r>
            <w:r>
              <w:rPr>
                <w:b/>
                <w:sz w:val="18"/>
                <w:szCs w:val="18"/>
                <w:lang/>
              </w:rPr>
              <w:t xml:space="preserve">           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8638" w:type="dxa"/>
            <w:gridSpan w:val="8"/>
          </w:tcPr>
          <w:p w:rsidR="00A26934" w:rsidRPr="00D73C34" w:rsidRDefault="00A26934" w:rsidP="005D7945">
            <w:pPr>
              <w:tabs>
                <w:tab w:val="left" w:pos="3675"/>
              </w:tabs>
              <w:rPr>
                <w:b/>
                <w:sz w:val="18"/>
                <w:szCs w:val="18"/>
                <w:lang w:val="sr-Cyrl-CS"/>
              </w:rPr>
            </w:pPr>
            <w:r w:rsidRPr="00D73C3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104EF" w:rsidRPr="007104EF">
              <w:rPr>
                <w:rFonts w:ascii="Arial" w:eastAsia="+mn-ea" w:hAnsi="Arial" w:cs="+mn-cs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="007104EF" w:rsidRPr="007104EF">
              <w:rPr>
                <w:b/>
                <w:bCs/>
                <w:sz w:val="18"/>
                <w:szCs w:val="18"/>
              </w:rPr>
              <w:t>FINANSIRANJE PREDU</w:t>
            </w:r>
            <w:r w:rsidR="007104EF" w:rsidRPr="007104EF">
              <w:rPr>
                <w:b/>
                <w:bCs/>
                <w:sz w:val="18"/>
                <w:szCs w:val="18"/>
                <w:lang w:val="sr-Latn-CS"/>
              </w:rPr>
              <w:t>ZETNIČKOG PODUHVATA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8638" w:type="dxa"/>
            <w:gridSpan w:val="8"/>
          </w:tcPr>
          <w:p w:rsidR="00A26934" w:rsidRPr="007104EF" w:rsidRDefault="007104EF" w:rsidP="005D79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104EF">
              <w:rPr>
                <w:b/>
                <w:bCs/>
                <w:sz w:val="18"/>
                <w:szCs w:val="18"/>
                <w:lang w:val="sr-Latn-CS"/>
              </w:rPr>
              <w:t>STARTOVANJE PLANIRANOG BIZNISA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8638" w:type="dxa"/>
            <w:gridSpan w:val="8"/>
          </w:tcPr>
          <w:p w:rsidR="00A26934" w:rsidRPr="00D73C34" w:rsidRDefault="007104EF" w:rsidP="007104E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Pr="007104EF">
              <w:rPr>
                <w:b/>
                <w:sz w:val="18"/>
                <w:szCs w:val="18"/>
              </w:rPr>
              <w:t>EKONOMSKA PROCENA BIZNISA</w:t>
            </w:r>
            <w:r w:rsidRPr="007104EF">
              <w:rPr>
                <w:b/>
                <w:sz w:val="18"/>
                <w:szCs w:val="18"/>
                <w:lang w:val="sr-Latn-CS"/>
              </w:rPr>
              <w:t xml:space="preserve">  </w:t>
            </w:r>
            <w:r w:rsidRPr="007104EF">
              <w:rPr>
                <w:b/>
                <w:sz w:val="18"/>
                <w:szCs w:val="18"/>
              </w:rPr>
              <w:t xml:space="preserve">                  </w:t>
            </w:r>
            <w:r w:rsidRPr="007104EF">
              <w:rPr>
                <w:b/>
                <w:sz w:val="18"/>
                <w:szCs w:val="18"/>
                <w:lang w:val="sr-Latn-CS"/>
              </w:rPr>
              <w:t xml:space="preserve">  </w:t>
            </w:r>
          </w:p>
        </w:tc>
      </w:tr>
      <w:tr w:rsidR="00A26934" w:rsidRPr="006D1277" w:rsidTr="005D7945">
        <w:tc>
          <w:tcPr>
            <w:tcW w:w="938" w:type="dxa"/>
          </w:tcPr>
          <w:p w:rsidR="00A26934" w:rsidRDefault="00A26934" w:rsidP="005D79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8638" w:type="dxa"/>
            <w:gridSpan w:val="8"/>
          </w:tcPr>
          <w:p w:rsidR="00A26934" w:rsidRPr="00D73C34" w:rsidRDefault="007104EF" w:rsidP="005D7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OBNAVLJANJE GRADIVA I PRIPREMA ZA ISPIT</w:t>
            </w:r>
          </w:p>
        </w:tc>
      </w:tr>
    </w:tbl>
    <w:p w:rsidR="00A26934" w:rsidRDefault="005D7945" w:rsidP="00A26934">
      <w:pPr>
        <w:rPr>
          <w:lang w:val="sr-Cyrl-CS"/>
        </w:rPr>
      </w:pPr>
      <w:r>
        <w:rPr>
          <w:lang w:val="sr-Cyrl-CS"/>
        </w:rPr>
        <w:br w:type="textWrapping" w:clear="all"/>
      </w:r>
      <w:r w:rsidR="00A26934">
        <w:rPr>
          <w:lang w:val="sr-Cyrl-CS"/>
        </w:rPr>
        <w:t>У оквиру ове табеле може се уписати одржавање колоквијума, одбрана семинарских радова и остале предиспитне обавезе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lastRenderedPageBreak/>
        <w:t xml:space="preserve">Полагање испита у испитним роковима (навести само могуће рокове): 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>1.Јануарски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>2.Мартовски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>3.Јунски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>4. Августовски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>5.Септембарски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A26934" w:rsidRDefault="00A26934" w:rsidP="00A26934">
      <w:pPr>
        <w:rPr>
          <w:lang w:val="ru-RU"/>
        </w:rPr>
      </w:pPr>
      <w:r w:rsidRPr="00EF3573">
        <w:rPr>
          <w:lang w:val="ru-RU"/>
        </w:rPr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A26934" w:rsidRPr="00EF3573" w:rsidRDefault="00A26934" w:rsidP="00A26934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A26934" w:rsidRPr="00EF3573" w:rsidRDefault="00A26934" w:rsidP="00A26934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t xml:space="preserve"> (шест)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A26934" w:rsidRPr="00EF3573" w:rsidRDefault="00A26934" w:rsidP="00A26934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t xml:space="preserve"> (седам)</w:t>
      </w:r>
      <w:r>
        <w:rPr>
          <w:lang w:val="sr-Cyrl-CS"/>
        </w:rPr>
        <w:t>;</w:t>
      </w:r>
    </w:p>
    <w:p w:rsidR="00A26934" w:rsidRPr="00EF3573" w:rsidRDefault="00A26934" w:rsidP="00A26934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t xml:space="preserve"> (осам)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A26934" w:rsidRPr="00EF3573" w:rsidRDefault="00A26934" w:rsidP="00A26934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t xml:space="preserve"> (девет)</w:t>
      </w:r>
      <w:r>
        <w:rPr>
          <w:lang w:val="sr-Cyrl-CS"/>
        </w:rPr>
        <w:t>;</w:t>
      </w:r>
    </w:p>
    <w:p w:rsidR="00A26934" w:rsidRPr="00EF3573" w:rsidRDefault="00A26934" w:rsidP="00A26934">
      <w:pPr>
        <w:numPr>
          <w:ilvl w:val="0"/>
          <w:numId w:val="1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A26934" w:rsidRDefault="00A26934" w:rsidP="00A2693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A26934" w:rsidRDefault="00A26934" w:rsidP="00A2693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A26934" w:rsidRDefault="00A26934" w:rsidP="00A26934"/>
    <w:p w:rsidR="00A26934" w:rsidRDefault="00A26934" w:rsidP="00A26934"/>
    <w:p w:rsidR="00A26934" w:rsidRDefault="00A26934" w:rsidP="00A26934"/>
    <w:p w:rsidR="00A26934" w:rsidRDefault="00A26934" w:rsidP="00A26934">
      <w:r>
        <w:t>Standardizacija i akreditacija</w:t>
      </w:r>
    </w:p>
    <w:p w:rsidR="00E20E61" w:rsidRDefault="00E20E61"/>
    <w:sectPr w:rsidR="00E20E61" w:rsidSect="005D3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037"/>
    <w:multiLevelType w:val="hybridMultilevel"/>
    <w:tmpl w:val="755233C2"/>
    <w:lvl w:ilvl="0" w:tplc="F9E46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4F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8851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B83D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028E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B2F6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B806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4DA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ACDD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6934"/>
    <w:rsid w:val="005D7945"/>
    <w:rsid w:val="007104EF"/>
    <w:rsid w:val="00955BEA"/>
    <w:rsid w:val="00A26934"/>
    <w:rsid w:val="00E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pk.edu.rs/mod/resource/view.php?id=2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mpk.edu.rs/mod/resource/view.php?id=2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pk.edu.rs/mod/resource/view.php?id=24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odle.mpk.edu.rs/mod/resource/view.php?id=2403" TargetMode="External"/><Relationship Id="rId10" Type="http://schemas.openxmlformats.org/officeDocument/2006/relationships/hyperlink" Target="http://moodle.mpk.edu.rs/mod/resource/view.php?id=2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pk.edu.rs/mod/resource/view.php?id=2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2</cp:revision>
  <dcterms:created xsi:type="dcterms:W3CDTF">2018-08-31T07:43:00Z</dcterms:created>
  <dcterms:modified xsi:type="dcterms:W3CDTF">2018-08-31T08:21:00Z</dcterms:modified>
</cp:coreProperties>
</file>